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074D7E" w:rsidRPr="00074D7E">
        <w:t>06.05.2026</w:t>
      </w:r>
      <w:r w:rsidR="00074D7E">
        <w:t xml:space="preserve"> </w:t>
      </w:r>
      <w:r w:rsidRPr="00A53DC5">
        <w:t xml:space="preserve">№  </w:t>
      </w:r>
      <w:r w:rsidR="00074D7E">
        <w:t>987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CE0AA2" w:rsidRPr="00A53DC5">
        <w:rPr>
          <w:sz w:val="28"/>
          <w:szCs w:val="32"/>
        </w:rPr>
        <w:t>ул.</w:t>
      </w:r>
      <w:r w:rsidR="00CF0C01">
        <w:rPr>
          <w:sz w:val="28"/>
          <w:szCs w:val="32"/>
        </w:rPr>
        <w:t xml:space="preserve"> </w:t>
      </w:r>
      <w:r w:rsidR="003F117B">
        <w:rPr>
          <w:sz w:val="28"/>
          <w:szCs w:val="32"/>
        </w:rPr>
        <w:t>Красноармейская, дом № 1</w:t>
      </w:r>
      <w:r w:rsidR="00CF0C01">
        <w:rPr>
          <w:sz w:val="28"/>
          <w:szCs w:val="32"/>
        </w:rPr>
        <w:t>3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3F3890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3F117B">
              <w:rPr>
                <w:sz w:val="20"/>
              </w:rPr>
              <w:t>ул.Красноармейская</w:t>
            </w:r>
            <w:r w:rsidR="009900E8" w:rsidRPr="00A53DC5">
              <w:rPr>
                <w:sz w:val="20"/>
              </w:rPr>
              <w:t xml:space="preserve">, дом № </w:t>
            </w:r>
            <w:r w:rsidR="003F117B">
              <w:rPr>
                <w:sz w:val="20"/>
              </w:rPr>
              <w:t>1</w:t>
            </w:r>
            <w:r w:rsidR="003F3890">
              <w:rPr>
                <w:sz w:val="20"/>
              </w:rPr>
              <w:t>3</w:t>
            </w:r>
            <w:r w:rsidR="003F117B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RPr="00A53DC5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Pr="00A53DC5" w:rsidRDefault="00FB3052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3B5236" w:rsidRPr="00A53DC5" w:rsidRDefault="003F117B" w:rsidP="003B523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3F117B">
                    <w:rPr>
                      <w:sz w:val="20"/>
                    </w:rPr>
                    <w:t>ул.Красноармейская, дом № 1</w:t>
                  </w:r>
                  <w:r w:rsidR="003F3890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A53DC5" w:rsidRDefault="003F3890" w:rsidP="00B72BE2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95,41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A53DC5" w:rsidRDefault="003F3890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334605,92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3F117B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3F3890">
              <w:rPr>
                <w:sz w:val="20"/>
              </w:rPr>
              <w:t>139,42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A63EBC" w:rsidP="00730A99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0</w:t>
            </w:r>
            <w:r w:rsidR="00730A99">
              <w:rPr>
                <w:sz w:val="20"/>
              </w:rPr>
              <w:t>8</w:t>
            </w:r>
            <w:r w:rsidR="00D7333B" w:rsidRPr="00A53DC5">
              <w:rPr>
                <w:sz w:val="20"/>
              </w:rPr>
              <w:t>.</w:t>
            </w:r>
            <w:r w:rsidR="003F117B">
              <w:rPr>
                <w:sz w:val="20"/>
              </w:rPr>
              <w:t>06.</w:t>
            </w:r>
            <w:r w:rsidR="00D7333B" w:rsidRPr="00A53DC5">
              <w:rPr>
                <w:sz w:val="20"/>
              </w:rPr>
              <w:t>202</w:t>
            </w:r>
            <w:r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730A99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08</w:t>
            </w:r>
            <w:r w:rsidR="00A63EBC" w:rsidRPr="00A53DC5">
              <w:rPr>
                <w:sz w:val="20"/>
              </w:rPr>
              <w:t>.</w:t>
            </w:r>
            <w:r w:rsidR="003F117B">
              <w:rPr>
                <w:sz w:val="20"/>
              </w:rPr>
              <w:t>06.</w:t>
            </w:r>
            <w:r w:rsidR="00A63EBC" w:rsidRPr="00A53DC5">
              <w:rPr>
                <w:sz w:val="20"/>
              </w:rPr>
              <w:t>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730A99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08</w:t>
            </w:r>
            <w:r w:rsidR="00A63EBC" w:rsidRPr="00A53DC5">
              <w:rPr>
                <w:sz w:val="20"/>
              </w:rPr>
              <w:t>.</w:t>
            </w:r>
            <w:r w:rsidR="003F117B">
              <w:rPr>
                <w:sz w:val="20"/>
              </w:rPr>
              <w:t>06.</w:t>
            </w:r>
            <w:r w:rsidR="00A63EBC" w:rsidRPr="00A53DC5">
              <w:rPr>
                <w:sz w:val="20"/>
              </w:rPr>
              <w:t>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3F3890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3F3890">
              <w:rPr>
                <w:sz w:val="20"/>
              </w:rPr>
              <w:t>1394,19</w:t>
            </w:r>
            <w:r w:rsidRPr="00A53DC5">
              <w:rPr>
                <w:sz w:val="20"/>
              </w:rPr>
              <w:t xml:space="preserve"> 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3F3890" w:rsidRPr="00D57AAC" w:rsidRDefault="003F3890" w:rsidP="003F3890">
      <w:pPr>
        <w:ind w:firstLine="0"/>
        <w:jc w:val="center"/>
        <w:rPr>
          <w:b/>
          <w:sz w:val="22"/>
          <w:szCs w:val="22"/>
        </w:rPr>
      </w:pPr>
      <w:r w:rsidRPr="00D57AAC">
        <w:rPr>
          <w:b/>
          <w:sz w:val="22"/>
          <w:szCs w:val="22"/>
        </w:rPr>
        <w:t>Акт</w:t>
      </w:r>
    </w:p>
    <w:p w:rsidR="003F3890" w:rsidRPr="00D57AAC" w:rsidRDefault="003F3890" w:rsidP="003F3890">
      <w:pPr>
        <w:ind w:firstLine="0"/>
        <w:jc w:val="center"/>
        <w:rPr>
          <w:b/>
          <w:sz w:val="22"/>
          <w:szCs w:val="22"/>
        </w:rPr>
      </w:pPr>
      <w:r w:rsidRPr="00D57AAC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3F3890" w:rsidRPr="00D57AAC" w:rsidRDefault="003F3890" w:rsidP="003F3890">
      <w:pPr>
        <w:ind w:firstLine="0"/>
        <w:jc w:val="center"/>
        <w:rPr>
          <w:b/>
          <w:sz w:val="22"/>
          <w:szCs w:val="22"/>
        </w:rPr>
      </w:pPr>
      <w:r w:rsidRPr="00D57AAC">
        <w:rPr>
          <w:b/>
          <w:sz w:val="22"/>
          <w:szCs w:val="22"/>
        </w:rPr>
        <w:t>ул. Красноармейская, д.13</w:t>
      </w:r>
    </w:p>
    <w:p w:rsidR="003F3890" w:rsidRPr="00D57AAC" w:rsidRDefault="003F3890" w:rsidP="003F3890">
      <w:pPr>
        <w:jc w:val="center"/>
        <w:rPr>
          <w:b/>
          <w:sz w:val="22"/>
          <w:szCs w:val="22"/>
        </w:rPr>
      </w:pP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1. Общие сведения о многоквартирном доме</w:t>
      </w:r>
    </w:p>
    <w:p w:rsidR="003F3890" w:rsidRPr="00D57AAC" w:rsidRDefault="003F3890" w:rsidP="003F3890">
      <w:pPr>
        <w:rPr>
          <w:sz w:val="22"/>
          <w:szCs w:val="22"/>
          <w:u w:val="single"/>
        </w:rPr>
      </w:pPr>
      <w:r w:rsidRPr="00D57AAC">
        <w:rPr>
          <w:sz w:val="22"/>
          <w:szCs w:val="22"/>
        </w:rPr>
        <w:t>1. Адрес многоквартирного дома</w:t>
      </w:r>
      <w:r w:rsidRPr="00D57AAC">
        <w:rPr>
          <w:sz w:val="22"/>
          <w:szCs w:val="22"/>
          <w:u w:val="single"/>
        </w:rPr>
        <w:t>:  ул. Красноармейская, д.13</w:t>
      </w:r>
    </w:p>
    <w:p w:rsidR="003F3890" w:rsidRPr="00D57AAC" w:rsidRDefault="003F3890" w:rsidP="003F3890">
      <w:pPr>
        <w:rPr>
          <w:sz w:val="22"/>
          <w:szCs w:val="22"/>
          <w:u w:val="single"/>
        </w:rPr>
      </w:pPr>
      <w:r w:rsidRPr="00D57AAC"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D57AAC">
        <w:rPr>
          <w:sz w:val="22"/>
          <w:szCs w:val="22"/>
          <w:u w:val="single"/>
        </w:rPr>
        <w:t>33:02:010109:61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 xml:space="preserve">3. Серия, тип постройки   </w:t>
      </w:r>
      <w:r w:rsidRPr="00D57AAC">
        <w:rPr>
          <w:sz w:val="22"/>
          <w:szCs w:val="22"/>
          <w:u w:val="single"/>
        </w:rPr>
        <w:t>жилой дом</w:t>
      </w:r>
      <w:r w:rsidRPr="00D57AAC">
        <w:rPr>
          <w:sz w:val="22"/>
          <w:szCs w:val="22"/>
        </w:rPr>
        <w:t>_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 xml:space="preserve">4. Год постройки     </w:t>
      </w:r>
      <w:r w:rsidRPr="00D57AAC">
        <w:rPr>
          <w:sz w:val="22"/>
          <w:szCs w:val="22"/>
          <w:u w:val="single"/>
        </w:rPr>
        <w:t>1899 г.</w:t>
      </w:r>
      <w:r w:rsidRPr="00D57AAC">
        <w:rPr>
          <w:sz w:val="22"/>
          <w:szCs w:val="22"/>
        </w:rPr>
        <w:t xml:space="preserve">   </w:t>
      </w:r>
    </w:p>
    <w:p w:rsidR="003F3890" w:rsidRPr="00D57AAC" w:rsidRDefault="003F3890" w:rsidP="003F3890">
      <w:pPr>
        <w:rPr>
          <w:sz w:val="22"/>
          <w:szCs w:val="22"/>
          <w:u w:val="single"/>
        </w:rPr>
      </w:pPr>
      <w:r w:rsidRPr="00D57AAC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 w:rsidRPr="00D57AAC">
        <w:rPr>
          <w:sz w:val="22"/>
          <w:szCs w:val="22"/>
          <w:u w:val="single"/>
        </w:rPr>
        <w:t>01.12.2013 г.</w:t>
      </w:r>
      <w:r w:rsidRPr="00D57AAC">
        <w:rPr>
          <w:sz w:val="22"/>
          <w:szCs w:val="22"/>
        </w:rPr>
        <w:t xml:space="preserve">    </w:t>
      </w:r>
      <w:r w:rsidRPr="00D57AAC">
        <w:rPr>
          <w:sz w:val="22"/>
          <w:szCs w:val="22"/>
          <w:u w:val="single"/>
        </w:rPr>
        <w:t xml:space="preserve">40%   </w:t>
      </w:r>
    </w:p>
    <w:p w:rsidR="003F3890" w:rsidRPr="00D57AAC" w:rsidRDefault="003F3890" w:rsidP="003F3890">
      <w:pPr>
        <w:rPr>
          <w:sz w:val="22"/>
          <w:szCs w:val="22"/>
          <w:u w:val="single"/>
        </w:rPr>
      </w:pPr>
      <w:r w:rsidRPr="00D57AAC">
        <w:rPr>
          <w:sz w:val="22"/>
          <w:szCs w:val="22"/>
        </w:rPr>
        <w:t xml:space="preserve">6. Степень фактического износа с сайта ГИС ЖКХ  </w:t>
      </w:r>
      <w:r w:rsidRPr="00D57AAC">
        <w:rPr>
          <w:sz w:val="22"/>
          <w:szCs w:val="22"/>
          <w:u w:val="single"/>
        </w:rPr>
        <w:t xml:space="preserve">   60   %</w:t>
      </w:r>
    </w:p>
    <w:p w:rsidR="003F3890" w:rsidRPr="00D57AAC" w:rsidRDefault="003F3890" w:rsidP="003F3890">
      <w:pPr>
        <w:rPr>
          <w:sz w:val="22"/>
          <w:szCs w:val="22"/>
          <w:u w:val="single"/>
        </w:rPr>
      </w:pPr>
      <w:r w:rsidRPr="00D57AAC">
        <w:rPr>
          <w:sz w:val="22"/>
          <w:szCs w:val="22"/>
        </w:rPr>
        <w:t xml:space="preserve">7. Год последнего капитального ремонта  </w:t>
      </w:r>
      <w:r w:rsidRPr="00D57AAC">
        <w:rPr>
          <w:sz w:val="22"/>
          <w:szCs w:val="22"/>
          <w:u w:val="single"/>
        </w:rPr>
        <w:t xml:space="preserve">    1917     г.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 w:rsidRPr="00D57AAC">
        <w:rPr>
          <w:sz w:val="22"/>
          <w:szCs w:val="22"/>
        </w:rPr>
        <w:t>износу____________</w:t>
      </w:r>
      <w:proofErr w:type="spellEnd"/>
      <w:r w:rsidRPr="00D57AAC">
        <w:rPr>
          <w:sz w:val="22"/>
          <w:szCs w:val="22"/>
          <w:u w:val="single"/>
        </w:rPr>
        <w:t>-</w:t>
      </w:r>
      <w:r w:rsidRPr="00D57AAC">
        <w:rPr>
          <w:sz w:val="22"/>
          <w:szCs w:val="22"/>
        </w:rPr>
        <w:t>____________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9. Количество этажей _____</w:t>
      </w:r>
      <w:r w:rsidRPr="00D57AAC">
        <w:rPr>
          <w:sz w:val="22"/>
          <w:szCs w:val="22"/>
          <w:u w:val="single"/>
        </w:rPr>
        <w:t xml:space="preserve">2 </w:t>
      </w:r>
      <w:r w:rsidRPr="00D57AAC">
        <w:rPr>
          <w:sz w:val="22"/>
          <w:szCs w:val="22"/>
        </w:rPr>
        <w:t>______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 xml:space="preserve">10. Наличие подвала </w:t>
      </w:r>
      <w:proofErr w:type="spellStart"/>
      <w:r w:rsidRPr="00D57AAC">
        <w:rPr>
          <w:sz w:val="22"/>
          <w:szCs w:val="22"/>
        </w:rPr>
        <w:t>_______</w:t>
      </w:r>
      <w:r w:rsidRPr="00D57AAC">
        <w:rPr>
          <w:sz w:val="22"/>
          <w:szCs w:val="22"/>
          <w:u w:val="single"/>
        </w:rPr>
        <w:t>Есть</w:t>
      </w:r>
      <w:proofErr w:type="spellEnd"/>
      <w:r w:rsidRPr="00D57AAC">
        <w:rPr>
          <w:sz w:val="22"/>
          <w:szCs w:val="22"/>
        </w:rPr>
        <w:t>_______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11. Наличие цокольного этажа ___-________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12. Наличие мансарды __________</w:t>
      </w:r>
      <w:r w:rsidRPr="00D57AAC">
        <w:rPr>
          <w:sz w:val="22"/>
          <w:szCs w:val="22"/>
          <w:u w:val="single"/>
        </w:rPr>
        <w:t>-</w:t>
      </w:r>
      <w:r w:rsidRPr="00D57AAC">
        <w:rPr>
          <w:sz w:val="22"/>
          <w:szCs w:val="22"/>
        </w:rPr>
        <w:t>________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13. Наличие мезонина ____________-_______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14. Количество квартир_____9______</w:t>
      </w:r>
    </w:p>
    <w:p w:rsidR="003F3890" w:rsidRPr="00D57AAC" w:rsidRDefault="003F3890" w:rsidP="003F3890">
      <w:pPr>
        <w:rPr>
          <w:sz w:val="22"/>
          <w:szCs w:val="22"/>
          <w:u w:val="single"/>
        </w:rPr>
      </w:pPr>
      <w:r w:rsidRPr="00D57AAC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D57AAC">
        <w:rPr>
          <w:sz w:val="22"/>
          <w:szCs w:val="22"/>
          <w:u w:val="single"/>
        </w:rPr>
        <w:t>-</w:t>
      </w:r>
      <w:r w:rsidRPr="00D57AAC">
        <w:rPr>
          <w:sz w:val="22"/>
          <w:szCs w:val="22"/>
        </w:rPr>
        <w:t>_____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____________________</w:t>
      </w:r>
      <w:r w:rsidRPr="00D57AAC">
        <w:rPr>
          <w:sz w:val="22"/>
          <w:szCs w:val="22"/>
          <w:u w:val="single"/>
        </w:rPr>
        <w:t>-</w:t>
      </w:r>
      <w:r w:rsidRPr="00D57AAC">
        <w:rPr>
          <w:sz w:val="22"/>
          <w:szCs w:val="22"/>
        </w:rPr>
        <w:t>_____________________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 w:rsidRPr="00D57AAC">
        <w:rPr>
          <w:sz w:val="22"/>
          <w:szCs w:val="22"/>
          <w:u w:val="single"/>
        </w:rPr>
        <w:t>-</w:t>
      </w:r>
      <w:r w:rsidRPr="00D57AAC">
        <w:rPr>
          <w:sz w:val="22"/>
          <w:szCs w:val="22"/>
        </w:rPr>
        <w:t>______________________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18. Строительный объем__</w:t>
      </w:r>
      <w:r w:rsidRPr="00D57AAC">
        <w:rPr>
          <w:sz w:val="22"/>
          <w:szCs w:val="22"/>
          <w:u w:val="single"/>
        </w:rPr>
        <w:t>1425 куб.м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19. Площадь: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D57AAC">
        <w:rPr>
          <w:sz w:val="22"/>
          <w:szCs w:val="22"/>
          <w:u w:val="single"/>
        </w:rPr>
        <w:t xml:space="preserve">292,24 </w:t>
      </w:r>
      <w:r w:rsidRPr="00D57AAC">
        <w:rPr>
          <w:sz w:val="22"/>
          <w:szCs w:val="22"/>
        </w:rPr>
        <w:t xml:space="preserve"> кв.м.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б) жилых помещений (общая площадь квартир</w:t>
      </w:r>
      <w:r w:rsidRPr="00D57AAC">
        <w:rPr>
          <w:sz w:val="22"/>
          <w:szCs w:val="22"/>
          <w:u w:val="single"/>
        </w:rPr>
        <w:t>)   194,91</w:t>
      </w:r>
      <w:r w:rsidRPr="00D57AAC">
        <w:rPr>
          <w:sz w:val="22"/>
          <w:szCs w:val="22"/>
        </w:rPr>
        <w:t>_кв.м.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 w:rsidRPr="00D57AAC">
        <w:rPr>
          <w:sz w:val="22"/>
          <w:szCs w:val="22"/>
        </w:rPr>
        <w:t>________</w:t>
      </w:r>
      <w:r w:rsidRPr="00D57AAC">
        <w:rPr>
          <w:sz w:val="22"/>
          <w:szCs w:val="22"/>
          <w:u w:val="single"/>
        </w:rPr>
        <w:t>-</w:t>
      </w:r>
      <w:r w:rsidRPr="00D57AAC">
        <w:rPr>
          <w:sz w:val="22"/>
          <w:szCs w:val="22"/>
        </w:rPr>
        <w:t>_______кв.м</w:t>
      </w:r>
      <w:proofErr w:type="spellEnd"/>
      <w:r w:rsidRPr="00D57AAC">
        <w:rPr>
          <w:sz w:val="22"/>
          <w:szCs w:val="22"/>
        </w:rPr>
        <w:t>.</w:t>
      </w:r>
    </w:p>
    <w:p w:rsidR="003F3890" w:rsidRPr="00D57AAC" w:rsidRDefault="003F3890" w:rsidP="003F3890">
      <w:pPr>
        <w:rPr>
          <w:sz w:val="22"/>
          <w:szCs w:val="22"/>
          <w:u w:val="single"/>
        </w:rPr>
      </w:pPr>
      <w:r w:rsidRPr="00D57AAC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D57AAC">
        <w:rPr>
          <w:sz w:val="22"/>
          <w:szCs w:val="22"/>
          <w:u w:val="single"/>
        </w:rPr>
        <w:t>-</w:t>
      </w:r>
      <w:r w:rsidRPr="00D57AAC">
        <w:rPr>
          <w:sz w:val="22"/>
          <w:szCs w:val="22"/>
        </w:rPr>
        <w:t xml:space="preserve">__ </w:t>
      </w:r>
      <w:r w:rsidRPr="00D57AAC">
        <w:rPr>
          <w:sz w:val="22"/>
          <w:szCs w:val="22"/>
          <w:u w:val="single"/>
        </w:rPr>
        <w:t>кв.м.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 xml:space="preserve">20. Количество лестничных клеток </w:t>
      </w:r>
      <w:r w:rsidRPr="00D57AAC">
        <w:rPr>
          <w:sz w:val="22"/>
          <w:szCs w:val="22"/>
          <w:u w:val="single"/>
        </w:rPr>
        <w:t xml:space="preserve"> 1  шт.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D57AAC">
        <w:rPr>
          <w:sz w:val="22"/>
          <w:szCs w:val="22"/>
          <w:u w:val="single"/>
        </w:rPr>
        <w:t xml:space="preserve"> 42,75  </w:t>
      </w:r>
      <w:r w:rsidRPr="00D57AAC">
        <w:rPr>
          <w:sz w:val="22"/>
          <w:szCs w:val="22"/>
        </w:rPr>
        <w:t>кв.м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3F3890" w:rsidRPr="00D57AAC" w:rsidRDefault="003F3890" w:rsidP="003F3890">
      <w:pPr>
        <w:rPr>
          <w:sz w:val="22"/>
          <w:szCs w:val="22"/>
          <w:u w:val="single"/>
        </w:rPr>
      </w:pPr>
      <w:r w:rsidRPr="00D57AAC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24. Кадастровый номер земельного участка (при наличии)_</w:t>
      </w:r>
      <w:r w:rsidRPr="00D57AAC">
        <w:rPr>
          <w:sz w:val="22"/>
          <w:szCs w:val="22"/>
          <w:u w:val="single"/>
        </w:rPr>
        <w:t>33:02:010109:6</w:t>
      </w:r>
      <w:r w:rsidRPr="00D57AAC">
        <w:rPr>
          <w:sz w:val="22"/>
          <w:szCs w:val="22"/>
        </w:rPr>
        <w:t>_</w:t>
      </w: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 xml:space="preserve">25. </w:t>
      </w:r>
      <w:r w:rsidRPr="00D57AAC">
        <w:rPr>
          <w:b/>
          <w:sz w:val="22"/>
          <w:szCs w:val="22"/>
        </w:rPr>
        <w:t xml:space="preserve">Перечень предоставляемых коммунальных услуг: </w:t>
      </w:r>
      <w:r w:rsidRPr="00D57AAC"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 w:rsidRPr="00D57AAC">
        <w:rPr>
          <w:sz w:val="22"/>
          <w:szCs w:val="22"/>
        </w:rPr>
        <w:t>тко</w:t>
      </w:r>
      <w:proofErr w:type="spellEnd"/>
      <w:r w:rsidRPr="00D57AAC">
        <w:rPr>
          <w:sz w:val="22"/>
          <w:szCs w:val="22"/>
        </w:rPr>
        <w:t>.</w:t>
      </w:r>
    </w:p>
    <w:p w:rsidR="003F3890" w:rsidRPr="00D57AAC" w:rsidRDefault="003F3890" w:rsidP="003F3890">
      <w:pPr>
        <w:rPr>
          <w:sz w:val="22"/>
          <w:szCs w:val="22"/>
        </w:rPr>
      </w:pPr>
    </w:p>
    <w:p w:rsidR="003F3890" w:rsidRPr="00D57AAC" w:rsidRDefault="003F3890" w:rsidP="003F3890">
      <w:pPr>
        <w:rPr>
          <w:sz w:val="22"/>
          <w:szCs w:val="22"/>
        </w:rPr>
      </w:pPr>
      <w:r w:rsidRPr="00D57AAC">
        <w:rPr>
          <w:sz w:val="22"/>
          <w:szCs w:val="22"/>
        </w:rPr>
        <w:t>2.Техническое состояние:</w:t>
      </w:r>
    </w:p>
    <w:p w:rsidR="003F3890" w:rsidRPr="00D57AAC" w:rsidRDefault="003F3890" w:rsidP="003F3890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3952"/>
        <w:gridCol w:w="3118"/>
      </w:tblGrid>
      <w:tr w:rsidR="003F3890" w:rsidRPr="00D57AAC" w:rsidTr="003F3890">
        <w:trPr>
          <w:trHeight w:val="990"/>
        </w:trPr>
        <w:tc>
          <w:tcPr>
            <w:tcW w:w="2252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b/>
                <w:szCs w:val="22"/>
              </w:rPr>
            </w:pPr>
            <w:r w:rsidRPr="00D57AAC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3F3890" w:rsidRPr="00D57AAC" w:rsidRDefault="003F3890" w:rsidP="005F6F34">
            <w:pPr>
              <w:jc w:val="center"/>
              <w:rPr>
                <w:b/>
                <w:szCs w:val="22"/>
              </w:rPr>
            </w:pP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b/>
                <w:szCs w:val="22"/>
              </w:rPr>
            </w:pPr>
            <w:r w:rsidRPr="00D57AAC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b/>
                <w:szCs w:val="22"/>
              </w:rPr>
            </w:pPr>
            <w:r w:rsidRPr="00D57AAC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Кирпичный, ленточный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Кирпичные</w:t>
            </w:r>
          </w:p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F3890" w:rsidRDefault="003F3890" w:rsidP="005F6F34">
            <w:pPr>
              <w:ind w:firstLine="0"/>
              <w:jc w:val="center"/>
            </w:pPr>
            <w:r w:rsidRPr="00AF536D">
              <w:rPr>
                <w:sz w:val="22"/>
                <w:szCs w:val="22"/>
              </w:rPr>
              <w:t>Неудовлетворительно</w:t>
            </w: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3118" w:type="dxa"/>
            <w:vAlign w:val="center"/>
          </w:tcPr>
          <w:p w:rsidR="003F3890" w:rsidRDefault="003F3890" w:rsidP="005F6F34">
            <w:pPr>
              <w:ind w:firstLine="0"/>
              <w:jc w:val="center"/>
            </w:pPr>
            <w:r w:rsidRPr="00AF536D">
              <w:rPr>
                <w:sz w:val="22"/>
                <w:szCs w:val="22"/>
              </w:rPr>
              <w:t>Неудовлетворительно</w:t>
            </w: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3118" w:type="dxa"/>
            <w:vAlign w:val="center"/>
          </w:tcPr>
          <w:p w:rsidR="003F3890" w:rsidRDefault="003F3890" w:rsidP="005F6F34">
            <w:pPr>
              <w:ind w:firstLine="0"/>
              <w:jc w:val="center"/>
            </w:pPr>
            <w:r w:rsidRPr="00E56DE1">
              <w:rPr>
                <w:sz w:val="22"/>
                <w:szCs w:val="22"/>
              </w:rPr>
              <w:t>Неудовлетворительно</w:t>
            </w: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3118" w:type="dxa"/>
            <w:vAlign w:val="center"/>
          </w:tcPr>
          <w:p w:rsidR="003F3890" w:rsidRDefault="003F3890" w:rsidP="005F6F34">
            <w:pPr>
              <w:ind w:firstLine="0"/>
              <w:jc w:val="center"/>
            </w:pPr>
            <w:r w:rsidRPr="00E56DE1">
              <w:rPr>
                <w:sz w:val="22"/>
                <w:szCs w:val="22"/>
              </w:rPr>
              <w:t>Неудовлетворительно</w:t>
            </w: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Металлический профлист</w:t>
            </w:r>
          </w:p>
        </w:tc>
        <w:tc>
          <w:tcPr>
            <w:tcW w:w="3118" w:type="dxa"/>
            <w:vAlign w:val="center"/>
          </w:tcPr>
          <w:p w:rsidR="003F3890" w:rsidRDefault="003F3890" w:rsidP="005F6F34">
            <w:pPr>
              <w:ind w:firstLine="0"/>
              <w:jc w:val="center"/>
            </w:pPr>
            <w:r w:rsidRPr="00A669E0">
              <w:rPr>
                <w:sz w:val="22"/>
                <w:szCs w:val="22"/>
              </w:rPr>
              <w:t>Неудовлетворительно</w:t>
            </w: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Дощатые</w:t>
            </w:r>
          </w:p>
        </w:tc>
        <w:tc>
          <w:tcPr>
            <w:tcW w:w="3118" w:type="dxa"/>
            <w:vAlign w:val="center"/>
          </w:tcPr>
          <w:p w:rsidR="003F3890" w:rsidRDefault="003F3890" w:rsidP="005F6F34">
            <w:pPr>
              <w:ind w:firstLine="0"/>
              <w:jc w:val="center"/>
            </w:pPr>
            <w:r w:rsidRPr="00A669E0">
              <w:rPr>
                <w:sz w:val="22"/>
                <w:szCs w:val="22"/>
              </w:rPr>
              <w:t>Неудовлетворительно</w:t>
            </w: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3118" w:type="dxa"/>
            <w:vAlign w:val="center"/>
          </w:tcPr>
          <w:p w:rsidR="003F3890" w:rsidRDefault="003F3890" w:rsidP="005F6F34">
            <w:pPr>
              <w:ind w:firstLine="0"/>
              <w:jc w:val="center"/>
            </w:pPr>
            <w:r w:rsidRPr="00E623E4">
              <w:rPr>
                <w:sz w:val="22"/>
                <w:szCs w:val="22"/>
              </w:rPr>
              <w:t>Неудовлетворительно</w:t>
            </w: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3118" w:type="dxa"/>
            <w:vAlign w:val="center"/>
          </w:tcPr>
          <w:p w:rsidR="003F3890" w:rsidRDefault="003F3890" w:rsidP="005F6F34">
            <w:pPr>
              <w:ind w:firstLine="0"/>
              <w:jc w:val="center"/>
            </w:pPr>
            <w:r w:rsidRPr="00E623E4">
              <w:rPr>
                <w:sz w:val="22"/>
                <w:szCs w:val="22"/>
              </w:rPr>
              <w:t>Неудовлетворительно</w:t>
            </w: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3118" w:type="dxa"/>
            <w:vAlign w:val="center"/>
          </w:tcPr>
          <w:p w:rsidR="003F3890" w:rsidRDefault="003F3890" w:rsidP="005F6F34">
            <w:pPr>
              <w:ind w:firstLine="0"/>
              <w:jc w:val="center"/>
            </w:pPr>
            <w:r w:rsidRPr="00E623E4">
              <w:rPr>
                <w:sz w:val="22"/>
                <w:szCs w:val="22"/>
              </w:rPr>
              <w:t>Неудовлетворительно</w:t>
            </w: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Штукатурка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Есть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Есть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right="-108"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 xml:space="preserve">10.  Внутридомовые инженерные </w:t>
            </w:r>
            <w:r w:rsidRPr="00D57AAC">
              <w:rPr>
                <w:rFonts w:ascii="Times New Roman" w:hAnsi="Times New Roman" w:cs="Times New Roman"/>
              </w:rPr>
              <w:lastRenderedPageBreak/>
              <w:t>коммуникации и оборудование для предоставления коммунальных услуг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color w:val="000000"/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отсутствует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Выгребная яма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Печное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RPr="00D57AAC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  <w:r w:rsidRPr="00D57AAC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3F3890" w:rsidRPr="00D57AAC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3890" w:rsidTr="003F3890">
        <w:tc>
          <w:tcPr>
            <w:tcW w:w="2252" w:type="dxa"/>
            <w:vAlign w:val="center"/>
          </w:tcPr>
          <w:p w:rsidR="003F3890" w:rsidRPr="00D57AAC" w:rsidRDefault="003F3890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12. Благоустройство:</w:t>
            </w:r>
          </w:p>
          <w:p w:rsidR="003F3890" w:rsidRPr="00D57AAC" w:rsidRDefault="003F3890" w:rsidP="005F6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7AAC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D57AAC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3F3890" w:rsidRPr="00D57AAC" w:rsidRDefault="003F3890" w:rsidP="005F6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F3890" w:rsidRPr="00D57AAC" w:rsidRDefault="003F3890" w:rsidP="005F6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3F3890" w:rsidRPr="00D57AAC" w:rsidRDefault="003F3890" w:rsidP="005F6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7AAC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3952" w:type="dxa"/>
            <w:vAlign w:val="center"/>
          </w:tcPr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  <w:p w:rsidR="003F3890" w:rsidRPr="00D57AAC" w:rsidRDefault="003F3890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F3890" w:rsidRDefault="003F3890" w:rsidP="005F6F34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3F3890" w:rsidRDefault="003F3890" w:rsidP="003F3890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6176A1" w:rsidP="00BB11FB">
      <w:pPr>
        <w:ind w:firstLine="0"/>
        <w:jc w:val="center"/>
        <w:rPr>
          <w:b/>
        </w:rPr>
      </w:pPr>
      <w:r w:rsidRPr="00A53DC5">
        <w:rPr>
          <w:b/>
        </w:rPr>
        <w:t xml:space="preserve"> г. Киржач, ул. </w:t>
      </w:r>
      <w:r w:rsidR="003F117B">
        <w:rPr>
          <w:b/>
        </w:rPr>
        <w:t>Красноармейская</w:t>
      </w:r>
      <w:r w:rsidRPr="00A53DC5">
        <w:rPr>
          <w:b/>
        </w:rPr>
        <w:t xml:space="preserve">, д. </w:t>
      </w:r>
      <w:r w:rsidR="003F3890">
        <w:rPr>
          <w:b/>
        </w:rPr>
        <w:t>13</w:t>
      </w:r>
    </w:p>
    <w:tbl>
      <w:tblPr>
        <w:tblW w:w="9500" w:type="dxa"/>
        <w:tblInd w:w="96" w:type="dxa"/>
        <w:tblLook w:val="04A0"/>
      </w:tblPr>
      <w:tblGrid>
        <w:gridCol w:w="760"/>
        <w:gridCol w:w="520"/>
        <w:gridCol w:w="3420"/>
        <w:gridCol w:w="1600"/>
        <w:gridCol w:w="1600"/>
        <w:gridCol w:w="1600"/>
      </w:tblGrid>
      <w:tr w:rsidR="003F3890" w:rsidRPr="003F3890" w:rsidTr="003F3890">
        <w:trPr>
          <w:trHeight w:val="312"/>
        </w:trPr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3F3890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292,24</w:t>
            </w:r>
          </w:p>
        </w:tc>
      </w:tr>
      <w:tr w:rsidR="003F3890" w:rsidRPr="003F3890" w:rsidTr="003F3890">
        <w:trPr>
          <w:trHeight w:val="312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3F3890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3F3890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3F3890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3F3890" w:rsidRPr="003F3890" w:rsidTr="003F3890">
        <w:trPr>
          <w:trHeight w:val="312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3F3890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3F3890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3F3890" w:rsidRPr="003F3890" w:rsidTr="003F3890">
        <w:trPr>
          <w:trHeight w:val="288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3F3890" w:rsidRPr="003F3890" w:rsidTr="003F3890">
        <w:trPr>
          <w:trHeight w:val="55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F3890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3F3890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3F3890" w:rsidRPr="003F3890" w:rsidTr="003F3890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3F389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1998,92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3F3890" w:rsidRPr="003F3890" w:rsidTr="003F3890">
        <w:trPr>
          <w:trHeight w:val="288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3F3890" w:rsidRPr="003F3890" w:rsidTr="003F3890">
        <w:trPr>
          <w:trHeight w:val="804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8767,20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540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7995,69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540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5996,76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288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 xml:space="preserve"> 2.4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Вывоз ЖБО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58,91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206604,80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480"/>
        </w:trPr>
        <w:tc>
          <w:tcPr>
            <w:tcW w:w="7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F3890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3F3890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3F3890" w:rsidRPr="003F3890" w:rsidTr="003F3890">
        <w:trPr>
          <w:trHeight w:val="804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3F3890" w:rsidRPr="003F3890" w:rsidTr="003F3890">
        <w:trPr>
          <w:trHeight w:val="288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0,37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1297,55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3F3890" w:rsidRPr="003F3890" w:rsidTr="003F3890">
        <w:trPr>
          <w:trHeight w:val="804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1998,92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3F3890" w:rsidRPr="003F3890" w:rsidTr="003F3890">
        <w:trPr>
          <w:trHeight w:val="540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3F3890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9994,61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3F3890" w:rsidRPr="003F3890" w:rsidTr="003F3890">
        <w:trPr>
          <w:trHeight w:val="288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11993,53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3F3890" w:rsidRPr="003F3890" w:rsidTr="003F3890">
        <w:trPr>
          <w:trHeight w:val="288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3F3890" w:rsidRPr="003F3890" w:rsidTr="003F3890">
        <w:trPr>
          <w:trHeight w:val="288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540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3F3890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3F3890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3F3890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3F3890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3F3890" w:rsidRPr="003F3890" w:rsidTr="003F3890">
        <w:trPr>
          <w:trHeight w:val="288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576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F3890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3F3890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3F3890" w:rsidRPr="003F3890" w:rsidTr="003F3890">
        <w:trPr>
          <w:trHeight w:val="288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540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3F3890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288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lastRenderedPageBreak/>
              <w:t xml:space="preserve"> 6.2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540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2798,49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3F3890" w:rsidRPr="003F3890" w:rsidTr="003F3890">
        <w:trPr>
          <w:trHeight w:val="288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288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288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7995,69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288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540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 xml:space="preserve">Устранен. протечек кровли ремонт, </w:t>
            </w:r>
            <w:proofErr w:type="spellStart"/>
            <w:r w:rsidRPr="003F3890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3F3890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13992,45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288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7995,69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3F3890" w:rsidRPr="003F3890" w:rsidTr="003F3890">
        <w:trPr>
          <w:trHeight w:val="288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23987,06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3F3890" w:rsidRPr="003F3890" w:rsidTr="003F3890">
        <w:trPr>
          <w:trHeight w:val="312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3F3890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89,37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313417,35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288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19669,39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288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1519,18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3890" w:rsidRPr="003F3890" w:rsidTr="003F3890">
        <w:trPr>
          <w:trHeight w:val="312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3F3890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95,41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3890">
              <w:rPr>
                <w:rFonts w:eastAsia="Times New Roman"/>
                <w:b/>
                <w:bCs/>
                <w:color w:val="000000"/>
                <w:sz w:val="20"/>
              </w:rPr>
              <w:t>334605,92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90" w:rsidRPr="003F3890" w:rsidRDefault="003F3890" w:rsidP="003F3890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3890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г.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A53DC5"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A53DC5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lastRenderedPageBreak/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68A" w:rsidRDefault="00AA768A">
      <w:r>
        <w:separator/>
      </w:r>
    </w:p>
  </w:endnote>
  <w:endnote w:type="continuationSeparator" w:id="0">
    <w:p w:rsidR="00AA768A" w:rsidRDefault="00AA7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C21D52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68A" w:rsidRDefault="00AA768A">
      <w:r>
        <w:separator/>
      </w:r>
    </w:p>
  </w:footnote>
  <w:footnote w:type="continuationSeparator" w:id="0">
    <w:p w:rsidR="00AA768A" w:rsidRDefault="00AA7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C21D52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C21D52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4D7E">
      <w:rPr>
        <w:rStyle w:val="a7"/>
        <w:noProof/>
      </w:rPr>
      <w:t>41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4D7E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117B"/>
    <w:rsid w:val="003F245C"/>
    <w:rsid w:val="003F24B6"/>
    <w:rsid w:val="003F29D5"/>
    <w:rsid w:val="003F2D4D"/>
    <w:rsid w:val="003F3890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5AB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A99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68A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9E5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5C24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1D52"/>
    <w:rsid w:val="00C22269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0C01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07F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810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42</Pages>
  <Words>20134</Words>
  <Characters>114769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134634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22</cp:revision>
  <cp:lastPrinted>2026-03-27T07:37:00Z</cp:lastPrinted>
  <dcterms:created xsi:type="dcterms:W3CDTF">2026-03-20T13:26:00Z</dcterms:created>
  <dcterms:modified xsi:type="dcterms:W3CDTF">2026-05-08T07:51:00Z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